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80" w:rsidRDefault="0030514E">
      <w:pPr>
        <w:pStyle w:val="NormalWeb"/>
        <w:shd w:val="clear" w:color="auto" w:fill="FFFFFF"/>
        <w:spacing w:before="0" w:beforeAutospacing="0" w:after="390" w:afterAutospacing="0"/>
        <w:jc w:val="center"/>
        <w:rPr>
          <w:rFonts w:ascii="Calibri Light" w:hAnsi="Calibri Light" w:cs="Arial"/>
          <w:color w:val="000000" w:themeColor="text1"/>
          <w:sz w:val="28"/>
        </w:rPr>
      </w:pPr>
      <w:r>
        <w:rPr>
          <w:rFonts w:ascii="Calibri Light" w:hAnsi="Calibri Light" w:cs="Arial"/>
          <w:b/>
          <w:color w:val="000000" w:themeColor="text1"/>
          <w:sz w:val="40"/>
          <w:szCs w:val="40"/>
        </w:rPr>
        <w:t>Appel à communication</w:t>
      </w:r>
      <w:r>
        <w:rPr>
          <w:rFonts w:ascii="Calibri Light" w:hAnsi="Calibri Light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Calibri Light" w:hAnsi="Calibri Light" w:cs="Arial"/>
          <w:color w:val="000000" w:themeColor="text1"/>
          <w:sz w:val="28"/>
        </w:rPr>
        <w:br/>
      </w:r>
      <w:r>
        <w:rPr>
          <w:rFonts w:ascii="Calibri Light" w:hAnsi="Calibri Light" w:cs="Arial"/>
          <w:b/>
          <w:color w:val="00B0F0"/>
          <w:sz w:val="28"/>
        </w:rPr>
        <w:t>jusqu’au</w:t>
      </w:r>
      <w:r>
        <w:rPr>
          <w:rFonts w:ascii="Calibri Light" w:hAnsi="Calibri Light" w:cs="Arial"/>
          <w:b/>
          <w:bCs/>
          <w:color w:val="00B0F0"/>
          <w:sz w:val="28"/>
        </w:rPr>
        <w:t> </w:t>
      </w:r>
      <w:r w:rsidR="00C2444D">
        <w:rPr>
          <w:rFonts w:ascii="Calibri Light" w:hAnsi="Calibri Light" w:cs="Helvetica"/>
          <w:b/>
          <w:color w:val="00B0F0"/>
          <w:sz w:val="28"/>
          <w:u w:val="single"/>
        </w:rPr>
        <w:t>16 juin 2025</w:t>
      </w:r>
      <w:r>
        <w:rPr>
          <w:rFonts w:ascii="Calibri Light" w:hAnsi="Calibri Light" w:cs="Arial"/>
          <w:color w:val="000000" w:themeColor="text1"/>
          <w:sz w:val="28"/>
        </w:rPr>
        <w:br/>
      </w:r>
      <w:r w:rsidR="00C2444D">
        <w:rPr>
          <w:rFonts w:ascii="Calibri Light" w:hAnsi="Calibri Light" w:cs="Helvetica"/>
          <w:b/>
          <w:color w:val="00B0F0"/>
          <w:sz w:val="28"/>
        </w:rPr>
        <w:t xml:space="preserve">Envoyé </w:t>
      </w:r>
      <w:r>
        <w:rPr>
          <w:rFonts w:ascii="Calibri Light" w:hAnsi="Calibri Light" w:cs="Helvetica"/>
          <w:b/>
          <w:color w:val="00B0F0"/>
          <w:sz w:val="28"/>
        </w:rPr>
        <w:t xml:space="preserve">à </w:t>
      </w:r>
      <w:r w:rsidR="00C2444D">
        <w:rPr>
          <w:rFonts w:ascii="Calibri Light" w:hAnsi="Calibri Light" w:cs="Helvetica"/>
          <w:b/>
          <w:color w:val="00B0F0"/>
          <w:sz w:val="28"/>
        </w:rPr>
        <w:t xml:space="preserve">l’adresse : </w:t>
      </w:r>
      <w:r w:rsidR="00C2444D" w:rsidRPr="00C2444D">
        <w:rPr>
          <w:rFonts w:ascii="Calibri Light" w:hAnsi="Calibri Light" w:cs="Helvetica"/>
          <w:b/>
          <w:color w:val="00B0F0"/>
          <w:sz w:val="28"/>
        </w:rPr>
        <w:t>apivale2025-colloque@inrae.fr</w:t>
      </w:r>
    </w:p>
    <w:p w:rsidR="00C74380" w:rsidRDefault="00C74380">
      <w:pPr>
        <w:spacing w:before="100" w:beforeAutospacing="1" w:after="120"/>
        <w:ind w:left="-284"/>
        <w:rPr>
          <w:rFonts w:ascii="Arial" w:eastAsia="Times New Roman" w:hAnsi="Arial" w:cs="Arial"/>
          <w:b/>
          <w:color w:val="222222"/>
          <w:lang w:val="fr-FR"/>
        </w:rPr>
      </w:pPr>
    </w:p>
    <w:p w:rsidR="00C74380" w:rsidRDefault="0030514E">
      <w:pPr>
        <w:tabs>
          <w:tab w:val="left" w:pos="7630"/>
        </w:tabs>
        <w:spacing w:before="100" w:beforeAutospacing="1" w:after="120"/>
        <w:ind w:left="-284"/>
        <w:rPr>
          <w:rFonts w:ascii="Arial" w:eastAsia="Times New Roman" w:hAnsi="Arial" w:cs="Arial"/>
          <w:b/>
          <w:color w:val="222222"/>
          <w:lang w:val="fr-FR"/>
        </w:rPr>
      </w:pPr>
      <w:r>
        <w:rPr>
          <w:rFonts w:ascii="Arial" w:eastAsia="Times New Roman" w:hAnsi="Arial" w:cs="Arial"/>
          <w:b/>
          <w:color w:val="222222"/>
          <w:lang w:val="fr-FR"/>
        </w:rPr>
        <w:t>Préférence de présentation</w:t>
      </w:r>
      <w:r>
        <w:rPr>
          <w:rFonts w:ascii="Arial" w:eastAsia="Times New Roman" w:hAnsi="Arial" w:cs="Arial"/>
          <w:b/>
          <w:color w:val="222222"/>
          <w:lang w:val="fr-FR"/>
        </w:rPr>
        <w:tab/>
      </w:r>
    </w:p>
    <w:p w:rsidR="00C74380" w:rsidRDefault="0030514E">
      <w:pPr>
        <w:jc w:val="both"/>
        <w:rPr>
          <w:b/>
          <w:lang w:val="fr-FR"/>
        </w:rPr>
      </w:pPr>
      <w:proofErr w:type="gramStart"/>
      <w:r>
        <w:rPr>
          <w:rFonts w:ascii="Arial" w:hAnsi="Arial" w:cs="Arial"/>
          <w:lang w:val="fr-FR"/>
        </w:rPr>
        <w:t>[  ]</w:t>
      </w:r>
      <w:proofErr w:type="gramEnd"/>
      <w:r>
        <w:rPr>
          <w:rFonts w:ascii="Arial" w:hAnsi="Arial" w:cs="Arial"/>
          <w:lang w:val="fr-FR"/>
        </w:rPr>
        <w:t xml:space="preserve">   </w:t>
      </w:r>
      <w:r>
        <w:rPr>
          <w:rFonts w:ascii="Arial" w:eastAsia="Times New Roman" w:hAnsi="Arial" w:cs="Arial"/>
          <w:color w:val="222222"/>
          <w:lang w:val="fr-FR"/>
        </w:rPr>
        <w:t>Oral</w:t>
      </w:r>
    </w:p>
    <w:p w:rsidR="00C74380" w:rsidRDefault="0030514E">
      <w:pPr>
        <w:jc w:val="both"/>
        <w:rPr>
          <w:rFonts w:ascii="Arial" w:eastAsia="Times New Roman" w:hAnsi="Arial" w:cs="Arial"/>
          <w:color w:val="222222"/>
          <w:lang w:val="fr-FR"/>
        </w:rPr>
      </w:pPr>
      <w:r>
        <w:rPr>
          <w:rFonts w:ascii="Arial" w:hAnsi="Arial" w:cs="Arial"/>
          <w:lang w:val="fr-FR"/>
        </w:rPr>
        <w:t xml:space="preserve">[  ]   </w:t>
      </w:r>
      <w:r>
        <w:rPr>
          <w:rFonts w:ascii="Arial" w:eastAsia="Times New Roman" w:hAnsi="Arial" w:cs="Arial"/>
          <w:color w:val="222222"/>
          <w:lang w:val="fr-FR"/>
        </w:rPr>
        <w:t>Poster</w:t>
      </w:r>
    </w:p>
    <w:p w:rsidR="00C74380" w:rsidRDefault="00C74380">
      <w:pPr>
        <w:jc w:val="both"/>
        <w:rPr>
          <w:b/>
          <w:lang w:val="fr-FR"/>
        </w:rPr>
      </w:pPr>
    </w:p>
    <w:p w:rsidR="00C74380" w:rsidRDefault="00C74380">
      <w:pPr>
        <w:ind w:left="-284"/>
        <w:jc w:val="both"/>
        <w:rPr>
          <w:rFonts w:ascii="Arial" w:hAnsi="Arial" w:cs="Arial"/>
          <w:b/>
          <w:lang w:val="fr-FR"/>
        </w:rPr>
      </w:pPr>
    </w:p>
    <w:p w:rsidR="00C74380" w:rsidRDefault="0030514E">
      <w:pPr>
        <w:ind w:left="-284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Sessions à sélectionner (2 maximum) :</w:t>
      </w:r>
    </w:p>
    <w:p w:rsidR="00C74380" w:rsidRDefault="00C74380">
      <w:pPr>
        <w:jc w:val="both"/>
        <w:rPr>
          <w:b/>
          <w:lang w:val="fr-FR"/>
        </w:rPr>
      </w:pPr>
    </w:p>
    <w:p w:rsidR="00C74380" w:rsidRDefault="00305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[  ]   </w:t>
      </w:r>
      <w:r w:rsidR="00C2444D" w:rsidRPr="00C2444D">
        <w:rPr>
          <w:rFonts w:ascii="Arial" w:hAnsi="Arial" w:cs="Arial"/>
          <w:color w:val="000000" w:themeColor="text1"/>
        </w:rPr>
        <w:t>Valorisation agronomique des produits organiques</w:t>
      </w:r>
    </w:p>
    <w:p w:rsidR="00C74380" w:rsidRDefault="00305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[  ]   </w:t>
      </w:r>
      <w:r w:rsidR="00C2444D" w:rsidRPr="00C2444D">
        <w:rPr>
          <w:rFonts w:ascii="Arial" w:hAnsi="Arial" w:cs="Arial"/>
          <w:color w:val="000000" w:themeColor="text1"/>
        </w:rPr>
        <w:t>Place des produits organiques dans la transition énergétique et la production de biomatériaux</w:t>
      </w:r>
    </w:p>
    <w:p w:rsidR="00C74380" w:rsidRDefault="003051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  ]   </w:t>
      </w:r>
      <w:r w:rsidR="00C2444D" w:rsidRPr="00C2444D">
        <w:rPr>
          <w:rFonts w:ascii="Arial" w:hAnsi="Arial" w:cs="Arial"/>
        </w:rPr>
        <w:t xml:space="preserve">Réduction des émissions vers l'air sur les filières de production et de valorisation des produits organiques </w:t>
      </w:r>
    </w:p>
    <w:p w:rsidR="00C74380" w:rsidRDefault="0030514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[  ]   </w:t>
      </w:r>
      <w:r w:rsidR="00C2444D" w:rsidRPr="00C2444D">
        <w:rPr>
          <w:rFonts w:ascii="Arial" w:hAnsi="Arial" w:cs="Arial"/>
          <w:lang w:val="fr-FR"/>
        </w:rPr>
        <w:t>Évaluation des impacts sanitaires et environnementaux des produits organiques</w:t>
      </w:r>
    </w:p>
    <w:p w:rsidR="00C2444D" w:rsidRDefault="00C2444D" w:rsidP="00C2444D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[  ]   </w:t>
      </w:r>
      <w:r w:rsidRPr="00C2444D">
        <w:rPr>
          <w:rFonts w:ascii="Arial" w:hAnsi="Arial" w:cs="Arial"/>
          <w:lang w:val="fr-FR"/>
        </w:rPr>
        <w:t>Bouclage des cycles biogéochimiques impliquant des produits organiques</w:t>
      </w:r>
    </w:p>
    <w:p w:rsidR="00C2444D" w:rsidRDefault="00C2444D">
      <w:pPr>
        <w:jc w:val="both"/>
        <w:rPr>
          <w:rFonts w:ascii="Arial" w:hAnsi="Arial" w:cs="Arial"/>
          <w:lang w:val="fr-FR"/>
        </w:rPr>
      </w:pPr>
    </w:p>
    <w:p w:rsidR="00C74380" w:rsidRDefault="0030514E">
      <w:pPr>
        <w:spacing w:before="100" w:beforeAutospacing="1" w:after="120"/>
        <w:ind w:left="-284"/>
        <w:rPr>
          <w:rFonts w:ascii="Arial" w:eastAsia="Times New Roman" w:hAnsi="Arial" w:cs="Arial"/>
          <w:b/>
          <w:color w:val="222222"/>
          <w:lang w:val="fr-FR"/>
        </w:rPr>
      </w:pPr>
      <w:r>
        <w:rPr>
          <w:rFonts w:ascii="Arial" w:eastAsia="Times New Roman" w:hAnsi="Arial" w:cs="Arial"/>
          <w:b/>
          <w:color w:val="222222"/>
          <w:lang w:val="fr-FR"/>
        </w:rPr>
        <w:t>Indications de mise en forme</w:t>
      </w:r>
    </w:p>
    <w:p w:rsidR="00C74380" w:rsidRDefault="0030514E">
      <w:pPr>
        <w:numPr>
          <w:ilvl w:val="0"/>
          <w:numId w:val="1"/>
        </w:numPr>
        <w:spacing w:before="100" w:beforeAutospacing="1" w:after="120"/>
        <w:ind w:left="284" w:hanging="284"/>
        <w:rPr>
          <w:rFonts w:ascii="Arial" w:eastAsia="Times New Roman" w:hAnsi="Arial" w:cs="Arial"/>
          <w:color w:val="222222"/>
          <w:lang w:val="fr-FR"/>
        </w:rPr>
      </w:pPr>
      <w:r>
        <w:rPr>
          <w:rFonts w:ascii="Arial" w:eastAsia="Times New Roman" w:hAnsi="Arial" w:cs="Arial"/>
          <w:color w:val="222222"/>
          <w:lang w:val="fr-FR"/>
        </w:rPr>
        <w:t>Indiquer le titre (Arial 14 en gras), prénom et nom des auteurs (</w:t>
      </w:r>
      <w:r w:rsidR="00106FE5">
        <w:rPr>
          <w:rFonts w:ascii="Arial" w:eastAsia="Times New Roman" w:hAnsi="Arial" w:cs="Arial"/>
          <w:color w:val="222222"/>
          <w:lang w:val="fr-FR"/>
        </w:rPr>
        <w:t>A</w:t>
      </w:r>
      <w:r>
        <w:rPr>
          <w:rFonts w:ascii="Arial" w:eastAsia="Times New Roman" w:hAnsi="Arial" w:cs="Arial"/>
          <w:color w:val="222222"/>
          <w:lang w:val="fr-FR"/>
        </w:rPr>
        <w:t xml:space="preserve">rial 12 en gras), </w:t>
      </w:r>
      <w:r>
        <w:rPr>
          <w:rFonts w:ascii="Arial" w:eastAsia="Times New Roman" w:hAnsi="Arial" w:cs="Arial"/>
          <w:color w:val="222222"/>
          <w:u w:val="single"/>
          <w:lang w:val="fr-FR"/>
        </w:rPr>
        <w:t>soulignez le nom du conférencier</w:t>
      </w:r>
      <w:r>
        <w:rPr>
          <w:rFonts w:ascii="Arial" w:eastAsia="Times New Roman" w:hAnsi="Arial" w:cs="Arial"/>
          <w:color w:val="222222"/>
          <w:lang w:val="fr-FR"/>
        </w:rPr>
        <w:t xml:space="preserve"> (pour présentation orale ou poster) et indiquez son adresse e-mail.</w:t>
      </w:r>
    </w:p>
    <w:p w:rsidR="00C74380" w:rsidRDefault="0030514E">
      <w:pPr>
        <w:numPr>
          <w:ilvl w:val="0"/>
          <w:numId w:val="1"/>
        </w:numPr>
        <w:spacing w:before="100" w:beforeAutospacing="1" w:after="120"/>
        <w:ind w:left="284" w:hanging="284"/>
        <w:rPr>
          <w:rFonts w:ascii="Arial" w:eastAsia="Times New Roman" w:hAnsi="Arial" w:cs="Arial"/>
          <w:color w:val="222222"/>
          <w:lang w:val="fr-FR"/>
        </w:rPr>
      </w:pPr>
      <w:r>
        <w:rPr>
          <w:rFonts w:ascii="Arial" w:eastAsia="Times New Roman" w:hAnsi="Arial" w:cs="Arial"/>
          <w:color w:val="222222"/>
          <w:lang w:val="fr-FR"/>
        </w:rPr>
        <w:t>Taille du résumé : 1 page maximum, environ</w:t>
      </w:r>
      <w:r w:rsidR="00106FE5">
        <w:rPr>
          <w:rFonts w:ascii="Arial" w:eastAsia="Times New Roman" w:hAnsi="Arial" w:cs="Arial"/>
          <w:color w:val="222222"/>
          <w:lang w:val="fr-FR"/>
        </w:rPr>
        <w:t xml:space="preserve"> </w:t>
      </w:r>
      <w:r>
        <w:rPr>
          <w:rFonts w:ascii="Arial" w:eastAsia="Times New Roman" w:hAnsi="Arial" w:cs="Arial"/>
          <w:color w:val="222222"/>
          <w:lang w:val="fr-FR"/>
        </w:rPr>
        <w:t>400 mots, police de caractères Arial, taille 12, simple interligne – texte justifié. 1 figure ou 1 tableau peut être ajouté.</w:t>
      </w:r>
    </w:p>
    <w:p w:rsidR="00C74380" w:rsidRDefault="0030514E">
      <w:pPr>
        <w:numPr>
          <w:ilvl w:val="0"/>
          <w:numId w:val="1"/>
        </w:numPr>
        <w:spacing w:before="100" w:beforeAutospacing="1" w:after="120"/>
        <w:ind w:left="284" w:hanging="284"/>
        <w:rPr>
          <w:rFonts w:ascii="Arial" w:eastAsia="Times New Roman" w:hAnsi="Arial" w:cs="Arial"/>
          <w:color w:val="222222"/>
          <w:lang w:val="fr-FR"/>
        </w:rPr>
      </w:pPr>
      <w:r>
        <w:rPr>
          <w:rFonts w:ascii="Arial" w:eastAsia="Times New Roman" w:hAnsi="Arial" w:cs="Arial"/>
          <w:color w:val="222222"/>
          <w:lang w:val="fr-FR"/>
        </w:rPr>
        <w:t>Structurer le résumé afin de présenter les objectifs, matériels et méthodes, résultats et conclusions</w:t>
      </w:r>
    </w:p>
    <w:p w:rsidR="00C74380" w:rsidRDefault="0030514E">
      <w:pPr>
        <w:numPr>
          <w:ilvl w:val="0"/>
          <w:numId w:val="1"/>
        </w:numPr>
        <w:spacing w:before="100" w:beforeAutospacing="1" w:after="120"/>
        <w:ind w:left="284" w:hanging="284"/>
        <w:rPr>
          <w:rFonts w:ascii="Arial" w:eastAsia="Times New Roman" w:hAnsi="Arial" w:cs="Arial"/>
          <w:color w:val="222222"/>
          <w:lang w:val="fr-FR"/>
        </w:rPr>
      </w:pPr>
      <w:r>
        <w:rPr>
          <w:rFonts w:ascii="Arial" w:eastAsia="Times New Roman" w:hAnsi="Arial" w:cs="Arial"/>
          <w:color w:val="222222"/>
          <w:lang w:val="fr-FR"/>
        </w:rPr>
        <w:t>Ne pas modifier les marges du document.</w:t>
      </w:r>
    </w:p>
    <w:p w:rsidR="00C74380" w:rsidRDefault="00C74380">
      <w:pPr>
        <w:rPr>
          <w:rFonts w:ascii="Arial" w:hAnsi="Arial" w:cs="Arial"/>
          <w:b/>
          <w:i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30514E">
      <w:pPr>
        <w:jc w:val="right"/>
        <w:rPr>
          <w:rFonts w:ascii="Arial" w:hAnsi="Arial" w:cs="Arial"/>
          <w:b/>
          <w:bCs/>
          <w:sz w:val="28"/>
          <w:szCs w:val="32"/>
          <w:lang w:val="fr-FR"/>
        </w:rPr>
      </w:pPr>
      <w:r>
        <w:rPr>
          <w:rFonts w:ascii="Arial" w:hAnsi="Arial" w:cs="Arial"/>
          <w:b/>
          <w:bCs/>
          <w:color w:val="00B0F0"/>
          <w:sz w:val="28"/>
          <w:szCs w:val="32"/>
          <w:lang w:val="fr-FR"/>
        </w:rPr>
        <w:t>… /…</w:t>
      </w:r>
      <w:r>
        <w:rPr>
          <w:rFonts w:ascii="Arial" w:hAnsi="Arial" w:cs="Arial"/>
          <w:b/>
          <w:bCs/>
          <w:sz w:val="28"/>
          <w:szCs w:val="32"/>
          <w:lang w:val="fr-FR"/>
        </w:rPr>
        <w:br w:type="page" w:clear="all"/>
      </w: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C74380">
      <w:pPr>
        <w:rPr>
          <w:rFonts w:ascii="Arial" w:hAnsi="Arial" w:cs="Arial"/>
          <w:b/>
          <w:bCs/>
          <w:sz w:val="28"/>
          <w:szCs w:val="32"/>
          <w:lang w:val="fr-FR"/>
        </w:rPr>
      </w:pPr>
    </w:p>
    <w:p w:rsidR="00C74380" w:rsidRDefault="0030514E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bCs/>
          <w:sz w:val="28"/>
          <w:szCs w:val="32"/>
          <w:lang w:val="fr-FR"/>
        </w:rPr>
        <w:t>Titre du résumé</w:t>
      </w:r>
    </w:p>
    <w:p w:rsidR="00C74380" w:rsidRDefault="00C74380">
      <w:pPr>
        <w:rPr>
          <w:rFonts w:ascii="Arial" w:hAnsi="Arial" w:cs="Arial"/>
          <w:sz w:val="20"/>
          <w:szCs w:val="20"/>
          <w:lang w:val="fr-FR"/>
        </w:rPr>
      </w:pPr>
    </w:p>
    <w:p w:rsidR="00C74380" w:rsidRDefault="0030514E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u w:val="single"/>
          <w:lang w:val="fr-FR"/>
        </w:rPr>
        <w:t>Prénom Nom</w:t>
      </w:r>
      <w:r>
        <w:rPr>
          <w:rFonts w:ascii="Arial" w:hAnsi="Arial" w:cs="Arial"/>
          <w:b/>
          <w:vertAlign w:val="superscript"/>
          <w:lang w:val="fr-FR"/>
        </w:rPr>
        <w:t>1</w:t>
      </w:r>
      <w:r>
        <w:rPr>
          <w:rFonts w:ascii="Arial" w:hAnsi="Arial" w:cs="Arial"/>
          <w:b/>
          <w:lang w:val="fr-FR"/>
        </w:rPr>
        <w:t>, Prénom Nom</w:t>
      </w:r>
      <w:r>
        <w:rPr>
          <w:rFonts w:ascii="Arial" w:hAnsi="Arial" w:cs="Arial"/>
          <w:b/>
          <w:vertAlign w:val="superscript"/>
          <w:lang w:val="fr-FR"/>
        </w:rPr>
        <w:t>2</w:t>
      </w:r>
      <w:r>
        <w:rPr>
          <w:rFonts w:ascii="Arial" w:hAnsi="Arial" w:cs="Arial"/>
          <w:b/>
          <w:lang w:val="fr-FR"/>
        </w:rPr>
        <w:t>, Prénom Nom</w:t>
      </w:r>
      <w:r>
        <w:rPr>
          <w:rFonts w:ascii="Arial" w:hAnsi="Arial" w:cs="Arial"/>
          <w:b/>
          <w:vertAlign w:val="superscript"/>
          <w:lang w:val="fr-FR"/>
        </w:rPr>
        <w:t>3</w:t>
      </w:r>
      <w:r>
        <w:rPr>
          <w:rFonts w:ascii="Arial" w:hAnsi="Arial" w:cs="Arial"/>
          <w:b/>
          <w:lang w:val="fr-FR"/>
        </w:rPr>
        <w:t xml:space="preserve">, </w:t>
      </w:r>
    </w:p>
    <w:p w:rsidR="00C74380" w:rsidRDefault="0030514E">
      <w:pPr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vertAlign w:val="superscript"/>
          <w:lang w:val="fr-FR"/>
        </w:rPr>
        <w:t>1</w:t>
      </w:r>
      <w:r>
        <w:rPr>
          <w:rFonts w:ascii="Arial" w:hAnsi="Arial" w:cs="Arial"/>
          <w:i/>
          <w:lang w:val="fr-FR"/>
        </w:rPr>
        <w:t>Institut/UMR</w:t>
      </w:r>
      <w:r w:rsidR="00C2444D">
        <w:rPr>
          <w:rFonts w:ascii="Arial" w:hAnsi="Arial" w:cs="Arial"/>
          <w:i/>
          <w:lang w:val="fr-FR"/>
        </w:rPr>
        <w:t>/UR</w:t>
      </w:r>
      <w:r>
        <w:rPr>
          <w:rFonts w:ascii="Arial" w:hAnsi="Arial" w:cs="Arial"/>
          <w:i/>
          <w:lang w:val="fr-FR"/>
        </w:rPr>
        <w:t>, ville, Pays</w:t>
      </w:r>
    </w:p>
    <w:p w:rsidR="00C74380" w:rsidRDefault="0030514E">
      <w:pPr>
        <w:tabs>
          <w:tab w:val="left" w:pos="8042"/>
        </w:tabs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vertAlign w:val="superscript"/>
          <w:lang w:val="fr-FR"/>
        </w:rPr>
        <w:t>2</w:t>
      </w:r>
      <w:r>
        <w:rPr>
          <w:rFonts w:ascii="Arial" w:hAnsi="Arial" w:cs="Arial"/>
          <w:i/>
          <w:lang w:val="fr-FR"/>
        </w:rPr>
        <w:t>Institut/UMR</w:t>
      </w:r>
      <w:r w:rsidR="00C2444D">
        <w:rPr>
          <w:rFonts w:ascii="Arial" w:hAnsi="Arial" w:cs="Arial"/>
          <w:i/>
          <w:lang w:val="fr-FR"/>
        </w:rPr>
        <w:t>/UR</w:t>
      </w:r>
      <w:r>
        <w:rPr>
          <w:rFonts w:ascii="Arial" w:hAnsi="Arial" w:cs="Arial"/>
          <w:i/>
          <w:lang w:val="fr-FR"/>
        </w:rPr>
        <w:t>, ville, Pays</w:t>
      </w:r>
    </w:p>
    <w:p w:rsidR="00C74380" w:rsidRDefault="0030514E">
      <w:pPr>
        <w:tabs>
          <w:tab w:val="left" w:pos="8042"/>
        </w:tabs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vertAlign w:val="superscript"/>
          <w:lang w:val="fr-FR"/>
        </w:rPr>
        <w:t>3</w:t>
      </w:r>
      <w:r>
        <w:rPr>
          <w:rFonts w:ascii="Arial" w:hAnsi="Arial" w:cs="Arial"/>
          <w:i/>
          <w:lang w:val="fr-FR"/>
        </w:rPr>
        <w:t>Institut/UMR</w:t>
      </w:r>
      <w:r w:rsidR="00C2444D">
        <w:rPr>
          <w:rFonts w:ascii="Arial" w:hAnsi="Arial" w:cs="Arial"/>
          <w:i/>
          <w:lang w:val="fr-FR"/>
        </w:rPr>
        <w:t>/UR</w:t>
      </w:r>
      <w:r>
        <w:rPr>
          <w:rFonts w:ascii="Arial" w:hAnsi="Arial" w:cs="Arial"/>
          <w:i/>
          <w:lang w:val="fr-FR"/>
        </w:rPr>
        <w:t>, ville, Pays</w:t>
      </w:r>
    </w:p>
    <w:p w:rsidR="00C74380" w:rsidRDefault="0030514E">
      <w:pPr>
        <w:tabs>
          <w:tab w:val="left" w:pos="8042"/>
        </w:tabs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lang w:val="fr-FR"/>
        </w:rPr>
        <w:t>Email du conférencier</w:t>
      </w:r>
    </w:p>
    <w:p w:rsidR="00C74380" w:rsidRDefault="00C74380">
      <w:pPr>
        <w:rPr>
          <w:rFonts w:ascii="Arial" w:hAnsi="Arial" w:cs="Arial"/>
          <w:b/>
          <w:i/>
          <w:sz w:val="20"/>
          <w:szCs w:val="20"/>
          <w:lang w:val="fr-FR"/>
        </w:rPr>
      </w:pPr>
    </w:p>
    <w:p w:rsidR="00CE2C01" w:rsidRDefault="00CE2C01">
      <w:pPr>
        <w:tabs>
          <w:tab w:val="left" w:pos="220"/>
          <w:tab w:val="left" w:pos="720"/>
        </w:tabs>
        <w:spacing w:after="200" w:line="288" w:lineRule="auto"/>
        <w:jc w:val="both"/>
        <w:rPr>
          <w:rFonts w:ascii="Arial" w:hAnsi="Arial" w:cs="Arial"/>
          <w:color w:val="1A1A1A"/>
          <w:sz w:val="20"/>
          <w:szCs w:val="20"/>
          <w:lang w:val="fr-FR"/>
        </w:rPr>
      </w:pPr>
    </w:p>
    <w:p w:rsidR="00CE2C01" w:rsidRPr="00CE2C01" w:rsidRDefault="00CE2C01" w:rsidP="00E64044">
      <w:pPr>
        <w:pStyle w:val="Titre3"/>
        <w:jc w:val="both"/>
        <w:rPr>
          <w:rFonts w:eastAsiaTheme="minorEastAsia"/>
          <w:color w:val="1A1A1A"/>
          <w:sz w:val="24"/>
          <w:szCs w:val="24"/>
          <w:lang w:val="fr-FR"/>
        </w:rPr>
      </w:pPr>
      <w:r w:rsidRPr="00CE2C01">
        <w:rPr>
          <w:rFonts w:eastAsiaTheme="minorEastAsia"/>
          <w:color w:val="1A1A1A"/>
          <w:sz w:val="24"/>
          <w:szCs w:val="24"/>
          <w:lang w:val="fr-FR"/>
        </w:rPr>
        <w:t>La carpe et les carpillons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.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Prenez garde, mes fils, côtoyez moins le bord,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s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uivez le fond de la rivière ;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c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raignez la ligne meurtrière,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o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 xml:space="preserve">u l'épervier plus dangereux </w:t>
      </w:r>
      <w:proofErr w:type="spellStart"/>
      <w:r w:rsidRPr="00CE2C01">
        <w:rPr>
          <w:rFonts w:eastAsiaTheme="minorEastAsia"/>
          <w:color w:val="1A1A1A"/>
          <w:sz w:val="24"/>
          <w:szCs w:val="24"/>
          <w:lang w:val="fr-FR"/>
        </w:rPr>
        <w:t>encor</w:t>
      </w:r>
      <w:proofErr w:type="spellEnd"/>
      <w:r w:rsidRPr="00CE2C01">
        <w:rPr>
          <w:rFonts w:eastAsiaTheme="minorEastAsia"/>
          <w:color w:val="1A1A1A"/>
          <w:sz w:val="24"/>
          <w:szCs w:val="24"/>
          <w:lang w:val="fr-FR"/>
        </w:rPr>
        <w:t>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C'est ainsi que parlait une carpe de Seine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à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 xml:space="preserve"> de jeunes poissons qui l'écoutaient à peine.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C'était au mois d'avril : les neiges, les glaçons,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f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ondus par les zéphyrs, descendaient des montagnes.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 xml:space="preserve">Le fleuve, enflé par eux, s'élève à gros bouillons, </w:t>
      </w:r>
      <w:r>
        <w:rPr>
          <w:rFonts w:eastAsiaTheme="minorEastAsia"/>
          <w:color w:val="1A1A1A"/>
          <w:sz w:val="24"/>
          <w:szCs w:val="24"/>
          <w:lang w:val="fr-FR"/>
        </w:rPr>
        <w:t>e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 xml:space="preserve">t déborde dans les campagnes. Ah ! ah ! criaient les carpillons, </w:t>
      </w:r>
      <w:r>
        <w:rPr>
          <w:rFonts w:eastAsiaTheme="minorEastAsia"/>
          <w:color w:val="1A1A1A"/>
          <w:sz w:val="24"/>
          <w:szCs w:val="24"/>
          <w:lang w:val="fr-FR"/>
        </w:rPr>
        <w:t>q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u'en dis-tu, carpe radoteuse ?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Crains-tu pour nous les hameçons ?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Nous voilà citoyens de la mer orageuse ;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r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egarde : on ne voit plus que les eaux et le ciel,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l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es arbres sont cachés sous l'onde,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n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 xml:space="preserve">ous sommes les maîtres du monde, </w:t>
      </w:r>
      <w:r>
        <w:rPr>
          <w:rFonts w:eastAsiaTheme="minorEastAsia"/>
          <w:color w:val="1A1A1A"/>
          <w:sz w:val="24"/>
          <w:szCs w:val="24"/>
          <w:lang w:val="fr-FR"/>
        </w:rPr>
        <w:t>c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'est le déluge universel.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N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e croyez pas cela, répond la vieille mère ;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p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our que l'eau se retire il ne faut qu'un instant :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Ne vous éloignez point, et, de peur d'accident,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s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uivez, suivez toujours le fond de la rivière.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Bah ! disent les poissons, tu répètes toujours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m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êmes discours.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Adieu, nous allons voir notre nouveau domaine.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Parlant ainsi, nos étourdis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s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ortent tous du lit de la Seine,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e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t s'en vont dans les eaux qui couvrent le pays.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Qu'arriva-t-il ? Les eaux se retirèrent,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e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t les carpillons demeurèrent ;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b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ientôt ils furent pris,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e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t frits.</w:t>
      </w:r>
      <w:r w:rsidR="002F79C6"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Pourquoi quittaient-ils la rivière ?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Pourquoi ? je le sais trop, hélas !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C'est qu'on se croit toujours plus sage que sa mère</w:t>
      </w:r>
      <w:r>
        <w:rPr>
          <w:rFonts w:eastAsiaTheme="minorEastAsia"/>
          <w:color w:val="1A1A1A"/>
          <w:sz w:val="24"/>
          <w:szCs w:val="24"/>
          <w:lang w:val="fr-FR"/>
        </w:rPr>
        <w:t>, c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'est qu'on veut sortir de sa sphère,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Pr="00CE2C01">
        <w:rPr>
          <w:rFonts w:eastAsiaTheme="minorEastAsia"/>
          <w:color w:val="1A1A1A"/>
          <w:sz w:val="24"/>
          <w:szCs w:val="24"/>
          <w:lang w:val="fr-FR"/>
        </w:rPr>
        <w:t>C'est, que... c'est que... je ne finirai pas</w:t>
      </w:r>
      <w:r>
        <w:rPr>
          <w:rFonts w:eastAsiaTheme="minorEastAsia"/>
          <w:color w:val="1A1A1A"/>
          <w:sz w:val="24"/>
          <w:szCs w:val="24"/>
          <w:lang w:val="fr-FR"/>
        </w:rPr>
        <w:t xml:space="preserve">. </w:t>
      </w:r>
      <w:r w:rsidR="002F79C6" w:rsidRPr="002F79C6">
        <w:rPr>
          <w:rFonts w:eastAsiaTheme="minorEastAsia"/>
          <w:color w:val="1A1A1A"/>
          <w:sz w:val="24"/>
          <w:szCs w:val="24"/>
          <w:lang w:val="fr-FR"/>
        </w:rPr>
        <w:t>C’est, que... c’est que... je ne finirai pas.</w:t>
      </w:r>
      <w:r w:rsidR="002F79C6">
        <w:rPr>
          <w:rFonts w:eastAsiaTheme="minorEastAsia"/>
          <w:color w:val="1A1A1A"/>
          <w:sz w:val="24"/>
          <w:szCs w:val="24"/>
          <w:lang w:val="fr-FR"/>
        </w:rPr>
        <w:t xml:space="preserve"> </w:t>
      </w:r>
      <w:r w:rsidR="002F79C6" w:rsidRPr="002F79C6">
        <w:rPr>
          <w:rFonts w:eastAsiaTheme="minorEastAsia"/>
          <w:color w:val="1A1A1A"/>
          <w:sz w:val="24"/>
          <w:szCs w:val="24"/>
          <w:lang w:val="fr-FR"/>
        </w:rPr>
        <w:t xml:space="preserve">Jean-Pierre </w:t>
      </w:r>
      <w:proofErr w:type="spellStart"/>
      <w:r w:rsidR="002F79C6" w:rsidRPr="002F79C6">
        <w:rPr>
          <w:rFonts w:eastAsiaTheme="minorEastAsia"/>
          <w:color w:val="1A1A1A"/>
          <w:sz w:val="24"/>
          <w:szCs w:val="24"/>
          <w:lang w:val="fr-FR"/>
        </w:rPr>
        <w:t>Claris</w:t>
      </w:r>
      <w:proofErr w:type="spellEnd"/>
      <w:r w:rsidR="002F79C6" w:rsidRPr="002F79C6">
        <w:rPr>
          <w:rFonts w:eastAsiaTheme="minorEastAsia"/>
          <w:color w:val="1A1A1A"/>
          <w:sz w:val="24"/>
          <w:szCs w:val="24"/>
          <w:lang w:val="fr-FR"/>
        </w:rPr>
        <w:t xml:space="preserve"> de Florian</w:t>
      </w:r>
    </w:p>
    <w:p w:rsidR="00CE2C01" w:rsidRDefault="00CE2C01">
      <w:pPr>
        <w:tabs>
          <w:tab w:val="left" w:pos="220"/>
          <w:tab w:val="left" w:pos="720"/>
        </w:tabs>
        <w:spacing w:after="200" w:line="288" w:lineRule="auto"/>
        <w:jc w:val="both"/>
        <w:rPr>
          <w:rFonts w:ascii="Arial" w:hAnsi="Arial" w:cs="Arial"/>
          <w:color w:val="1A1A1A"/>
          <w:lang w:val="fr-FR"/>
        </w:rPr>
      </w:pPr>
      <w:bookmarkStart w:id="0" w:name="_GoBack"/>
      <w:bookmarkEnd w:id="0"/>
    </w:p>
    <w:sectPr w:rsidR="00CE2C01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77" w:rsidRDefault="00AA7277">
      <w:r>
        <w:separator/>
      </w:r>
    </w:p>
  </w:endnote>
  <w:endnote w:type="continuationSeparator" w:id="0">
    <w:p w:rsidR="00AA7277" w:rsidRDefault="00AA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77" w:rsidRDefault="00AA7277">
      <w:r>
        <w:separator/>
      </w:r>
    </w:p>
  </w:footnote>
  <w:footnote w:type="continuationSeparator" w:id="0">
    <w:p w:rsidR="00AA7277" w:rsidRDefault="00AA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</w:tblGrid>
    <w:tr w:rsidR="00C74380">
      <w:trPr>
        <w:trHeight w:val="1049"/>
      </w:trPr>
      <w:tc>
        <w:tcPr>
          <w:tcW w:w="9262" w:type="dxa"/>
          <w:vAlign w:val="center"/>
        </w:tcPr>
        <w:p w:rsidR="00C74380" w:rsidRDefault="00C2444D">
          <w:pPr>
            <w:pStyle w:val="En-tte"/>
            <w:pBdr>
              <w:bottom w:val="single" w:sz="4" w:space="1" w:color="000000"/>
            </w:pBdr>
            <w:jc w:val="right"/>
          </w:pPr>
          <w:r>
            <w:rPr>
              <w:noProof/>
              <w:color w:val="1F497D"/>
              <w:lang w:val="fr-FR" w:eastAsia="fr-FR"/>
            </w:rPr>
            <w:drawing>
              <wp:inline distT="0" distB="0" distL="0" distR="0">
                <wp:extent cx="966159" cy="533967"/>
                <wp:effectExtent l="0" t="0" r="5715" b="0"/>
                <wp:docPr id="2" name="Image 2" descr="cid:image003.jpg@01DB97F6.F900F4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id:image003.jpg@01DB97F6.F900F4A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7" t="11235" r="76191" b="74682"/>
                        <a:stretch/>
                      </pic:blipFill>
                      <pic:spPr bwMode="auto">
                        <a:xfrm>
                          <a:off x="0" y="0"/>
                          <a:ext cx="977070" cy="539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74380" w:rsidRDefault="00C74380">
          <w:pPr>
            <w:pStyle w:val="En-tte"/>
          </w:pPr>
        </w:p>
      </w:tc>
    </w:tr>
  </w:tbl>
  <w:p w:rsidR="00C74380" w:rsidRDefault="00C74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FBE"/>
    <w:multiLevelType w:val="multilevel"/>
    <w:tmpl w:val="52A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F4411"/>
    <w:multiLevelType w:val="multilevel"/>
    <w:tmpl w:val="11AE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80"/>
    <w:rsid w:val="00034003"/>
    <w:rsid w:val="00106FE5"/>
    <w:rsid w:val="001A2F08"/>
    <w:rsid w:val="002F79C6"/>
    <w:rsid w:val="0030514E"/>
    <w:rsid w:val="00AA7277"/>
    <w:rsid w:val="00C2444D"/>
    <w:rsid w:val="00C74380"/>
    <w:rsid w:val="00CE2C01"/>
    <w:rsid w:val="00E6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B2F5A58-968C-4AB1-864A-6790B59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Default">
    <w:name w:val="Default"/>
    <w:rPr>
      <w:rFonts w:ascii="Calibri" w:hAnsi="Calibri" w:cs="Calibri"/>
      <w:color w:val="000000"/>
      <w:lang w:val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oypena">
    <w:name w:val="oypena"/>
    <w:basedOn w:val="Policepardfaut"/>
    <w:rsid w:val="00C2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9D9A.269980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74FE-F2DD-4073-B6DE-68323365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2019</vt:lpstr>
    </vt:vector>
  </TitlesOfParts>
  <Company>Irstea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</dc:title>
  <dc:creator>Jerome Verdier</dc:creator>
  <cp:lastModifiedBy>fdequelen</cp:lastModifiedBy>
  <cp:revision>2</cp:revision>
  <dcterms:created xsi:type="dcterms:W3CDTF">2025-04-29T06:57:00Z</dcterms:created>
  <dcterms:modified xsi:type="dcterms:W3CDTF">2025-04-29T06:57:00Z</dcterms:modified>
</cp:coreProperties>
</file>